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AECD1" w14:textId="5B74B0FC" w:rsidR="00D4484F" w:rsidRPr="002C7189" w:rsidRDefault="00D4484F" w:rsidP="000E3F64">
      <w:pPr>
        <w:pStyle w:val="Title"/>
        <w:tabs>
          <w:tab w:val="left" w:pos="1059"/>
          <w:tab w:val="center" w:pos="4513"/>
        </w:tabs>
        <w:jc w:val="center"/>
        <w:rPr>
          <w:rFonts w:ascii="Arial Unicode MS" w:eastAsia="Arial Unicode MS" w:hAnsi="Arial Unicode MS" w:cs="Arial Unicode MS"/>
          <w:sz w:val="40"/>
          <w:szCs w:val="40"/>
        </w:rPr>
      </w:pPr>
      <w:r w:rsidRPr="002C7189">
        <w:rPr>
          <w:rFonts w:ascii="Arial Unicode MS" w:eastAsia="Arial Unicode MS" w:hAnsi="Arial Unicode MS" w:cs="Arial Unicode MS"/>
          <w:sz w:val="40"/>
          <w:szCs w:val="40"/>
        </w:rPr>
        <w:t>Lunchtime Reading Group</w:t>
      </w:r>
    </w:p>
    <w:p w14:paraId="60382951" w14:textId="6595E7E2" w:rsidR="002C7189" w:rsidRDefault="00D4484F" w:rsidP="000E3F64">
      <w:pPr>
        <w:pStyle w:val="Subtitle"/>
        <w:jc w:val="center"/>
        <w:rPr>
          <w:rFonts w:eastAsia="Arial Unicode MS"/>
        </w:rPr>
      </w:pPr>
      <w:proofErr w:type="spellStart"/>
      <w:r w:rsidRPr="002C7189">
        <w:rPr>
          <w:rFonts w:ascii="Arial" w:eastAsia="Arial Unicode MS" w:hAnsi="Arial" w:cs="Arial"/>
        </w:rPr>
        <w:t>ʿ</w:t>
      </w:r>
      <w:r w:rsidRPr="002C7189">
        <w:rPr>
          <w:rFonts w:eastAsia="Arial Unicode MS"/>
        </w:rPr>
        <w:t>Ammār</w:t>
      </w:r>
      <w:proofErr w:type="spellEnd"/>
      <w:r w:rsidRPr="002C7189">
        <w:rPr>
          <w:rFonts w:eastAsia="Arial Unicode MS"/>
        </w:rPr>
        <w:t xml:space="preserve"> al-</w:t>
      </w:r>
      <w:proofErr w:type="spellStart"/>
      <w:r w:rsidRPr="002C7189">
        <w:t>Baṣrī’s</w:t>
      </w:r>
      <w:proofErr w:type="spellEnd"/>
      <w:r w:rsidRPr="002C7189">
        <w:rPr>
          <w:rFonts w:eastAsia="Arial Unicode MS"/>
        </w:rPr>
        <w:t xml:space="preserve"> </w:t>
      </w:r>
      <w:proofErr w:type="spellStart"/>
      <w:r w:rsidRPr="002C7189">
        <w:rPr>
          <w:rFonts w:eastAsia="Arial Unicode MS"/>
        </w:rPr>
        <w:t>Kitāb</w:t>
      </w:r>
      <w:proofErr w:type="spellEnd"/>
      <w:r w:rsidRPr="002C7189">
        <w:rPr>
          <w:rFonts w:eastAsia="Arial Unicode MS"/>
        </w:rPr>
        <w:t xml:space="preserve"> al-</w:t>
      </w:r>
      <w:proofErr w:type="spellStart"/>
      <w:r w:rsidRPr="002C7189">
        <w:rPr>
          <w:rFonts w:eastAsia="Arial Unicode MS"/>
        </w:rPr>
        <w:t>burhān</w:t>
      </w:r>
      <w:proofErr w:type="spellEnd"/>
      <w:r w:rsidRPr="002C7189">
        <w:rPr>
          <w:rFonts w:eastAsia="Arial Unicode MS"/>
        </w:rPr>
        <w:t xml:space="preserve"> (The Book of Proof)</w:t>
      </w:r>
    </w:p>
    <w:p w14:paraId="2923A6D7" w14:textId="6841946C" w:rsidR="002C6AB5" w:rsidRDefault="00E942E9" w:rsidP="002C6AB5">
      <w:r>
        <w:rPr>
          <w:rFonts w:ascii="Arial" w:eastAsia="Arial Unicode MS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568DE02" wp14:editId="45B543CD">
            <wp:simplePos x="0" y="0"/>
            <wp:positionH relativeFrom="column">
              <wp:posOffset>4395470</wp:posOffset>
            </wp:positionH>
            <wp:positionV relativeFrom="paragraph">
              <wp:posOffset>170292</wp:posOffset>
            </wp:positionV>
            <wp:extent cx="1685925" cy="2853690"/>
            <wp:effectExtent l="0" t="0" r="3175" b="3810"/>
            <wp:wrapSquare wrapText="bothSides"/>
            <wp:docPr id="1670393530" name="Picture 1" descr="Syriac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393530" name="Picture 1" descr="Syriac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853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D18A0" w14:textId="72787FBD" w:rsidR="00A22832" w:rsidRPr="002C6AB5" w:rsidRDefault="00274264" w:rsidP="002C6AB5">
      <w:pPr>
        <w:rPr>
          <w:b/>
          <w:bCs/>
        </w:rPr>
      </w:pPr>
      <w:r w:rsidRPr="002C6AB5">
        <w:rPr>
          <w:b/>
          <w:bCs/>
        </w:rPr>
        <w:t>Time</w:t>
      </w:r>
      <w:r w:rsidR="00A22832" w:rsidRPr="002C6AB5">
        <w:rPr>
          <w:b/>
          <w:bCs/>
        </w:rPr>
        <w:t>: Thursdays</w:t>
      </w:r>
      <w:r w:rsidR="0016280E">
        <w:rPr>
          <w:b/>
          <w:bCs/>
        </w:rPr>
        <w:t>,</w:t>
      </w:r>
      <w:r w:rsidR="00A22832" w:rsidRPr="002C6AB5">
        <w:rPr>
          <w:b/>
          <w:bCs/>
        </w:rPr>
        <w:t xml:space="preserve"> </w:t>
      </w:r>
      <w:r w:rsidR="007F0CEF">
        <w:rPr>
          <w:b/>
          <w:bCs/>
        </w:rPr>
        <w:t>TT</w:t>
      </w:r>
      <w:r w:rsidR="0016280E">
        <w:rPr>
          <w:b/>
          <w:bCs/>
        </w:rPr>
        <w:t>25</w:t>
      </w:r>
      <w:r w:rsidR="007F0CEF">
        <w:rPr>
          <w:b/>
          <w:bCs/>
        </w:rPr>
        <w:t xml:space="preserve"> </w:t>
      </w:r>
      <w:r w:rsidR="00637278">
        <w:rPr>
          <w:b/>
          <w:bCs/>
        </w:rPr>
        <w:t>W</w:t>
      </w:r>
      <w:r w:rsidR="007F0CEF">
        <w:rPr>
          <w:b/>
          <w:bCs/>
        </w:rPr>
        <w:t xml:space="preserve">eeks </w:t>
      </w:r>
      <w:r w:rsidR="00637278">
        <w:rPr>
          <w:b/>
          <w:bCs/>
        </w:rPr>
        <w:t>1-8</w:t>
      </w:r>
      <w:r w:rsidR="0016280E">
        <w:rPr>
          <w:b/>
          <w:bCs/>
        </w:rPr>
        <w:t>,</w:t>
      </w:r>
      <w:r w:rsidR="00637278">
        <w:rPr>
          <w:b/>
          <w:bCs/>
        </w:rPr>
        <w:t xml:space="preserve"> </w:t>
      </w:r>
      <w:r w:rsidR="00A22832" w:rsidRPr="002C6AB5">
        <w:rPr>
          <w:b/>
          <w:bCs/>
        </w:rPr>
        <w:t>12:30-2:00</w:t>
      </w:r>
      <w:r w:rsidR="0016280E">
        <w:rPr>
          <w:b/>
          <w:bCs/>
        </w:rPr>
        <w:t>pm</w:t>
      </w:r>
    </w:p>
    <w:p w14:paraId="5461D5FA" w14:textId="27238BE9" w:rsidR="00A22832" w:rsidRPr="002C6AB5" w:rsidRDefault="00A22832" w:rsidP="00A22832">
      <w:pPr>
        <w:rPr>
          <w:b/>
          <w:bCs/>
        </w:rPr>
      </w:pPr>
      <w:r w:rsidRPr="002C6AB5">
        <w:rPr>
          <w:b/>
          <w:bCs/>
        </w:rPr>
        <w:t xml:space="preserve">Location: </w:t>
      </w:r>
      <w:r w:rsidR="00AB51AF">
        <w:rPr>
          <w:b/>
          <w:bCs/>
        </w:rPr>
        <w:t>Small Meeting Room, Faculty of Theology and Religion</w:t>
      </w:r>
      <w:r w:rsidR="005323D9">
        <w:rPr>
          <w:b/>
          <w:bCs/>
        </w:rPr>
        <w:t>, 2</w:t>
      </w:r>
      <w:r w:rsidR="005323D9" w:rsidRPr="005323D9">
        <w:rPr>
          <w:b/>
          <w:bCs/>
          <w:vertAlign w:val="superscript"/>
        </w:rPr>
        <w:t>nd</w:t>
      </w:r>
      <w:r w:rsidR="005323D9">
        <w:rPr>
          <w:b/>
          <w:bCs/>
        </w:rPr>
        <w:t xml:space="preserve"> Floor </w:t>
      </w:r>
      <w:hyperlink r:id="rId9" w:history="1">
        <w:r w:rsidR="005323D9" w:rsidRPr="005323D9">
          <w:rPr>
            <w:rStyle w:val="Hyperlink"/>
            <w:b/>
            <w:bCs/>
          </w:rPr>
          <w:t>Gibson Building</w:t>
        </w:r>
      </w:hyperlink>
      <w:r w:rsidR="005323D9">
        <w:rPr>
          <w:b/>
          <w:bCs/>
        </w:rPr>
        <w:t xml:space="preserve"> OX2 6GG</w:t>
      </w:r>
    </w:p>
    <w:p w14:paraId="770D35D7" w14:textId="72652FEE" w:rsidR="00274264" w:rsidRPr="00274264" w:rsidRDefault="00274264" w:rsidP="00274264"/>
    <w:p w14:paraId="3F0E107E" w14:textId="104301E5" w:rsidR="00323E86" w:rsidRPr="00323EDF" w:rsidRDefault="00D4484F" w:rsidP="001D00AB">
      <w:pPr>
        <w:spacing w:line="276" w:lineRule="auto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proofErr w:type="spellStart"/>
      <w:r w:rsidRPr="00323EDF">
        <w:rPr>
          <w:rFonts w:ascii="Arial" w:eastAsia="Arial Unicode MS" w:hAnsi="Arial" w:cs="Arial"/>
          <w:color w:val="000000"/>
          <w:sz w:val="22"/>
          <w:szCs w:val="22"/>
        </w:rPr>
        <w:t>ʿAmmār</w:t>
      </w:r>
      <w:proofErr w:type="spellEnd"/>
      <w:r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 al-</w:t>
      </w:r>
      <w:proofErr w:type="spellStart"/>
      <w:r w:rsidRPr="00323EDF">
        <w:rPr>
          <w:rFonts w:ascii="Arial" w:eastAsia="Arial Unicode MS" w:hAnsi="Arial" w:cs="Arial"/>
          <w:color w:val="000000"/>
          <w:sz w:val="22"/>
          <w:szCs w:val="22"/>
        </w:rPr>
        <w:t>Baṣrī</w:t>
      </w:r>
      <w:proofErr w:type="spellEnd"/>
      <w:r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 (</w:t>
      </w:r>
      <w:proofErr w:type="spellStart"/>
      <w:r w:rsidRPr="00323EDF">
        <w:rPr>
          <w:rFonts w:ascii="Arial" w:eastAsia="Arial Unicode MS" w:hAnsi="Arial" w:cs="Arial"/>
          <w:color w:val="000000"/>
          <w:sz w:val="22"/>
          <w:szCs w:val="22"/>
        </w:rPr>
        <w:t>d.c.</w:t>
      </w:r>
      <w:proofErr w:type="spellEnd"/>
      <w:r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 850 CE) was an East Syrian theologian </w:t>
      </w:r>
      <w:r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and apologist </w:t>
      </w:r>
      <w:r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who wrote the first Christian systematic theology in Arabic, in dialogue with Muslim thinkers of his time. </w:t>
      </w:r>
      <w:r w:rsidR="000C73E7">
        <w:rPr>
          <w:rFonts w:ascii="Arial" w:eastAsia="Arial Unicode MS" w:hAnsi="Arial" w:cs="Arial"/>
          <w:color w:val="000000"/>
          <w:sz w:val="22"/>
          <w:szCs w:val="22"/>
        </w:rPr>
        <w:t xml:space="preserve">During </w:t>
      </w:r>
      <w:r w:rsidR="006F6B9D">
        <w:rPr>
          <w:rFonts w:ascii="Arial" w:eastAsia="Arial Unicode MS" w:hAnsi="Arial" w:cs="Arial"/>
          <w:color w:val="000000"/>
          <w:sz w:val="22"/>
          <w:szCs w:val="22"/>
        </w:rPr>
        <w:t xml:space="preserve">the </w:t>
      </w:r>
      <w:r w:rsidR="00323E86" w:rsidRPr="00323EDF">
        <w:rPr>
          <w:rFonts w:ascii="Arial" w:eastAsia="Arial Unicode MS" w:hAnsi="Arial" w:cs="Arial"/>
          <w:color w:val="000000"/>
          <w:sz w:val="22"/>
          <w:szCs w:val="22"/>
        </w:rPr>
        <w:t>term, we will read three sections</w:t>
      </w:r>
      <w:r w:rsidR="005B532E">
        <w:rPr>
          <w:rFonts w:ascii="Arial" w:eastAsia="Arial Unicode MS" w:hAnsi="Arial" w:cs="Arial"/>
          <w:color w:val="000000"/>
          <w:sz w:val="22"/>
          <w:szCs w:val="22"/>
        </w:rPr>
        <w:t xml:space="preserve"> with relevance to political theology</w:t>
      </w:r>
      <w:r w:rsidR="00323E86"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323E86" w:rsidRPr="00323EDF">
        <w:rPr>
          <w:rFonts w:ascii="Arial" w:eastAsia="Arial Unicode MS" w:hAnsi="Arial" w:cs="Arial"/>
          <w:color w:val="000000"/>
          <w:sz w:val="22"/>
          <w:szCs w:val="22"/>
        </w:rPr>
        <w:t>from his work</w:t>
      </w:r>
      <w:r w:rsidR="00323E86"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="00323E86"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>Kitāb</w:t>
      </w:r>
      <w:proofErr w:type="spellEnd"/>
      <w:r w:rsidR="00323E86"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 xml:space="preserve"> al-Burhān, </w:t>
      </w:r>
      <w:r w:rsidR="00323E86"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amounting to about 4 pages of </w:t>
      </w:r>
      <w:r w:rsidR="007D6C23">
        <w:rPr>
          <w:rFonts w:ascii="Arial" w:eastAsia="Arial Unicode MS" w:hAnsi="Arial" w:cs="Arial"/>
          <w:color w:val="000000"/>
          <w:sz w:val="22"/>
          <w:szCs w:val="22"/>
        </w:rPr>
        <w:t xml:space="preserve">Arabic </w:t>
      </w:r>
      <w:r w:rsidR="00323E86" w:rsidRPr="00323EDF">
        <w:rPr>
          <w:rFonts w:ascii="Arial" w:eastAsia="Arial Unicode MS" w:hAnsi="Arial" w:cs="Arial"/>
          <w:color w:val="000000"/>
          <w:sz w:val="22"/>
          <w:szCs w:val="22"/>
        </w:rPr>
        <w:t>text each week</w:t>
      </w:r>
      <w:r w:rsidR="00323E86"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>:</w:t>
      </w:r>
    </w:p>
    <w:p w14:paraId="199B956E" w14:textId="29479EA1" w:rsidR="00323E86" w:rsidRPr="00323EDF" w:rsidRDefault="00323E86" w:rsidP="00323EDF">
      <w:pPr>
        <w:pStyle w:val="ListParagraph"/>
        <w:numPr>
          <w:ilvl w:val="0"/>
          <w:numId w:val="1"/>
        </w:numPr>
        <w:spacing w:before="120" w:after="120" w:line="360" w:lineRule="auto"/>
        <w:ind w:left="1077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  <w:proofErr w:type="spellStart"/>
      <w:r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>dalāʾil</w:t>
      </w:r>
      <w:proofErr w:type="spellEnd"/>
      <w:r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>ʿalā</w:t>
      </w:r>
      <w:proofErr w:type="spellEnd"/>
      <w:r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 xml:space="preserve"> l-</w:t>
      </w:r>
      <w:proofErr w:type="spellStart"/>
      <w:r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>dīn</w:t>
      </w:r>
      <w:proofErr w:type="spellEnd"/>
      <w:r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 xml:space="preserve"> al-</w:t>
      </w:r>
      <w:proofErr w:type="spellStart"/>
      <w:r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>haqq</w:t>
      </w:r>
      <w:proofErr w:type="spellEnd"/>
      <w:r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 (Proofs of the True Religion) </w:t>
      </w:r>
    </w:p>
    <w:p w14:paraId="00C066C5" w14:textId="77777777" w:rsidR="00323E86" w:rsidRPr="00323EDF" w:rsidRDefault="00323E86" w:rsidP="00323EDF">
      <w:pPr>
        <w:pStyle w:val="ListParagraph"/>
        <w:numPr>
          <w:ilvl w:val="0"/>
          <w:numId w:val="1"/>
        </w:numPr>
        <w:spacing w:before="120" w:after="120" w:line="360" w:lineRule="auto"/>
        <w:ind w:left="1077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  <w:proofErr w:type="spellStart"/>
      <w:r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>asbāb</w:t>
      </w:r>
      <w:proofErr w:type="spellEnd"/>
      <w:r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>qubūl</w:t>
      </w:r>
      <w:proofErr w:type="spellEnd"/>
      <w:r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 xml:space="preserve"> al-naṣrāniyya </w:t>
      </w:r>
      <w:r w:rsidRPr="00323EDF">
        <w:rPr>
          <w:rFonts w:ascii="Arial" w:eastAsia="Arial Unicode MS" w:hAnsi="Arial" w:cs="Arial"/>
          <w:color w:val="000000"/>
          <w:sz w:val="22"/>
          <w:szCs w:val="22"/>
        </w:rPr>
        <w:t>(Reasons for the Acceptance of Christianity)</w:t>
      </w:r>
    </w:p>
    <w:p w14:paraId="50046E46" w14:textId="745E4112" w:rsidR="00666E47" w:rsidRPr="00323EDF" w:rsidRDefault="00323E86" w:rsidP="00323EDF">
      <w:pPr>
        <w:pStyle w:val="ListParagraph"/>
        <w:numPr>
          <w:ilvl w:val="0"/>
          <w:numId w:val="1"/>
        </w:numPr>
        <w:spacing w:before="120" w:after="120" w:line="360" w:lineRule="auto"/>
        <w:ind w:left="1077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  <w:proofErr w:type="spellStart"/>
      <w:r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>ithbāt</w:t>
      </w:r>
      <w:proofErr w:type="spellEnd"/>
      <w:r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 xml:space="preserve"> al-</w:t>
      </w:r>
      <w:proofErr w:type="spellStart"/>
      <w:r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>tajassud</w:t>
      </w:r>
      <w:proofErr w:type="spellEnd"/>
      <w:r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 xml:space="preserve"> </w:t>
      </w:r>
      <w:r w:rsidRPr="00323EDF">
        <w:rPr>
          <w:rFonts w:ascii="Arial" w:eastAsia="Arial Unicode MS" w:hAnsi="Arial" w:cs="Arial"/>
          <w:color w:val="000000"/>
          <w:sz w:val="22"/>
          <w:szCs w:val="22"/>
        </w:rPr>
        <w:t>(Confirmation of the Incarnation)</w:t>
      </w:r>
    </w:p>
    <w:p w14:paraId="1E791654" w14:textId="54DDD182" w:rsidR="00323EDF" w:rsidRPr="005B532E" w:rsidRDefault="001D00AB" w:rsidP="005B532E">
      <w:pPr>
        <w:spacing w:before="120" w:after="120" w:line="276" w:lineRule="auto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42A4D" wp14:editId="5C985F39">
                <wp:simplePos x="0" y="0"/>
                <wp:positionH relativeFrom="column">
                  <wp:posOffset>4392631</wp:posOffset>
                </wp:positionH>
                <wp:positionV relativeFrom="paragraph">
                  <wp:posOffset>161290</wp:posOffset>
                </wp:positionV>
                <wp:extent cx="1685925" cy="304800"/>
                <wp:effectExtent l="0" t="0" r="3175" b="0"/>
                <wp:wrapSquare wrapText="bothSides"/>
                <wp:docPr id="14036328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048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1DD7D6" w14:textId="78F3A4DF" w:rsidR="001D00AB" w:rsidRPr="005C0827" w:rsidRDefault="001D00AB" w:rsidP="001D00AB">
                            <w:pPr>
                              <w:pStyle w:val="Caption"/>
                              <w:jc w:val="center"/>
                              <w:rPr>
                                <w:rFonts w:ascii="Arial" w:eastAsia="Arial Unicode MS" w:hAnsi="Arial" w:cs="Arial"/>
                                <w:noProof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t>The Annunciation (Nestorian Evangelion MS syr. 344)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42A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5.9pt;margin-top:12.7pt;width:132.7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" stroked="f">
                <v:textbox inset="0,0,0,0">
                  <w:txbxContent>
                    <w:p w14:paraId="411DD7D6" w14:textId="78F3A4DF" w:rsidR="001D00AB" w:rsidRPr="005C0827" w:rsidRDefault="001D00AB" w:rsidP="001D00AB">
                      <w:pPr>
                        <w:pStyle w:val="Caption"/>
                        <w:jc w:val="center"/>
                        <w:rPr>
                          <w:rFonts w:ascii="Arial" w:eastAsia="Arial Unicode MS" w:hAnsi="Arial" w:cs="Arial"/>
                          <w:noProof/>
                          <w:color w:val="000000"/>
                          <w:sz w:val="22"/>
                          <w:szCs w:val="22"/>
                        </w:rPr>
                      </w:pPr>
                      <w:r>
                        <w:t>The Annunciation (Nestorian Evangelion MS syr. 344)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EDF" w:rsidRPr="00323EDF">
        <w:rPr>
          <w:rFonts w:ascii="Arial" w:eastAsia="Arial Unicode MS" w:hAnsi="Arial" w:cs="Arial"/>
          <w:color w:val="000000"/>
          <w:sz w:val="22"/>
          <w:szCs w:val="22"/>
        </w:rPr>
        <w:t>For a short introduction to the work, see M. Beaumont “</w:t>
      </w:r>
      <w:proofErr w:type="spellStart"/>
      <w:r w:rsidR="00323EDF" w:rsidRPr="00323EDF">
        <w:rPr>
          <w:rFonts w:ascii="Arial" w:eastAsia="Arial Unicode MS" w:hAnsi="Arial" w:cs="Arial"/>
          <w:color w:val="000000"/>
          <w:sz w:val="22"/>
          <w:szCs w:val="22"/>
        </w:rPr>
        <w:fldChar w:fldCharType="begin"/>
      </w:r>
      <w:r w:rsidR="00323EDF" w:rsidRPr="00323EDF">
        <w:rPr>
          <w:rFonts w:ascii="Arial" w:eastAsia="Arial Unicode MS" w:hAnsi="Arial" w:cs="Arial"/>
          <w:color w:val="000000"/>
          <w:sz w:val="22"/>
          <w:szCs w:val="22"/>
        </w:rPr>
        <w:instrText>HYPERLINK "https://solo.bodleian.ox.ac.uk/permalink/44OXF_INST/ao2p7t/cdi_walterdegruyter_books_10_31826_9781463244484_012"</w:instrText>
      </w:r>
      <w:r w:rsidR="00323EDF" w:rsidRPr="00323EDF">
        <w:rPr>
          <w:rFonts w:ascii="Arial" w:eastAsia="Arial Unicode MS" w:hAnsi="Arial" w:cs="Arial"/>
          <w:color w:val="000000"/>
          <w:sz w:val="22"/>
          <w:szCs w:val="22"/>
        </w:rPr>
      </w:r>
      <w:r w:rsidR="00323EDF" w:rsidRPr="00323EDF">
        <w:rPr>
          <w:rFonts w:ascii="Arial" w:eastAsia="Arial Unicode MS" w:hAnsi="Arial" w:cs="Arial"/>
          <w:color w:val="000000"/>
          <w:sz w:val="22"/>
          <w:szCs w:val="22"/>
        </w:rPr>
        <w:fldChar w:fldCharType="separate"/>
      </w:r>
      <w:r w:rsidR="00323EDF" w:rsidRPr="00323EDF">
        <w:rPr>
          <w:rStyle w:val="Hyperlink"/>
          <w:rFonts w:ascii="Arial" w:eastAsia="Arial Unicode MS" w:hAnsi="Arial" w:cs="Arial"/>
          <w:sz w:val="22"/>
          <w:szCs w:val="22"/>
        </w:rPr>
        <w:t>ʿAmmār</w:t>
      </w:r>
      <w:proofErr w:type="spellEnd"/>
      <w:r w:rsidR="00323EDF" w:rsidRPr="00323EDF">
        <w:rPr>
          <w:rStyle w:val="Hyperlink"/>
          <w:rFonts w:ascii="Arial" w:eastAsia="Arial Unicode MS" w:hAnsi="Arial" w:cs="Arial"/>
          <w:sz w:val="22"/>
          <w:szCs w:val="22"/>
        </w:rPr>
        <w:t xml:space="preserve"> al-</w:t>
      </w:r>
      <w:proofErr w:type="spellStart"/>
      <w:r w:rsidR="00323EDF" w:rsidRPr="00323EDF">
        <w:rPr>
          <w:rStyle w:val="Hyperlink"/>
          <w:rFonts w:ascii="Arial" w:eastAsia="Arial Unicode MS" w:hAnsi="Arial" w:cs="Arial"/>
          <w:sz w:val="22"/>
          <w:szCs w:val="22"/>
        </w:rPr>
        <w:t>Baṣrī</w:t>
      </w:r>
      <w:proofErr w:type="spellEnd"/>
      <w:r w:rsidR="00323EDF" w:rsidRPr="00323EDF">
        <w:rPr>
          <w:rStyle w:val="Hyperlink"/>
          <w:rFonts w:ascii="Arial" w:eastAsia="Arial Unicode MS" w:hAnsi="Arial" w:cs="Arial"/>
          <w:sz w:val="22"/>
          <w:szCs w:val="22"/>
        </w:rPr>
        <w:t>: Defending the Inca</w:t>
      </w:r>
      <w:r w:rsidR="00323EDF" w:rsidRPr="00323EDF">
        <w:rPr>
          <w:rStyle w:val="Hyperlink"/>
          <w:rFonts w:ascii="Arial" w:eastAsia="Arial Unicode MS" w:hAnsi="Arial" w:cs="Arial"/>
          <w:sz w:val="22"/>
          <w:szCs w:val="22"/>
        </w:rPr>
        <w:t>r</w:t>
      </w:r>
      <w:r w:rsidR="00323EDF" w:rsidRPr="00323EDF">
        <w:rPr>
          <w:rStyle w:val="Hyperlink"/>
          <w:rFonts w:ascii="Arial" w:eastAsia="Arial Unicode MS" w:hAnsi="Arial" w:cs="Arial"/>
          <w:sz w:val="22"/>
          <w:szCs w:val="22"/>
        </w:rPr>
        <w:t>nation of the Son of God</w:t>
      </w:r>
      <w:r w:rsidR="00323EDF" w:rsidRPr="00323EDF">
        <w:rPr>
          <w:rFonts w:ascii="Arial" w:eastAsia="Arial Unicode MS" w:hAnsi="Arial" w:cs="Arial"/>
          <w:color w:val="000000"/>
          <w:sz w:val="22"/>
          <w:szCs w:val="22"/>
        </w:rPr>
        <w:fldChar w:fldCharType="end"/>
      </w:r>
      <w:r w:rsidR="00323EDF"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” in </w:t>
      </w:r>
      <w:r w:rsidR="00323EDF"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 xml:space="preserve">Medieval Encounters, </w:t>
      </w:r>
      <w:r w:rsidR="00323EDF"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ed. M. Beaumont and A. Ibrahim, Piscataway NJ, 2022. For a longer introduction to the thought of </w:t>
      </w:r>
      <w:proofErr w:type="spellStart"/>
      <w:r w:rsidR="00323EDF" w:rsidRPr="00323EDF">
        <w:rPr>
          <w:rFonts w:ascii="Arial" w:eastAsia="Arial Unicode MS" w:hAnsi="Arial" w:cs="Arial"/>
          <w:color w:val="000000"/>
          <w:sz w:val="22"/>
          <w:szCs w:val="22"/>
        </w:rPr>
        <w:t>ʿAmmār</w:t>
      </w:r>
      <w:proofErr w:type="spellEnd"/>
      <w:r w:rsidR="00323EDF"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 al-</w:t>
      </w:r>
      <w:proofErr w:type="spellStart"/>
      <w:r w:rsidR="00323EDF" w:rsidRPr="00323EDF">
        <w:rPr>
          <w:rFonts w:ascii="Arial" w:eastAsia="Arial Unicode MS" w:hAnsi="Arial" w:cs="Arial"/>
          <w:color w:val="000000"/>
          <w:sz w:val="22"/>
          <w:szCs w:val="22"/>
        </w:rPr>
        <w:t>Baṣrī</w:t>
      </w:r>
      <w:proofErr w:type="spellEnd"/>
      <w:r w:rsidR="00323EDF"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 , see M. Beamont, </w:t>
      </w:r>
      <w:hyperlink r:id="rId10" w:history="1">
        <w:r w:rsidR="00323EDF" w:rsidRPr="00323EDF">
          <w:rPr>
            <w:rStyle w:val="Hyperlink"/>
            <w:rFonts w:ascii="Arial" w:eastAsia="Arial Unicode MS" w:hAnsi="Arial" w:cs="Arial"/>
            <w:i/>
            <w:iCs/>
            <w:sz w:val="22"/>
            <w:szCs w:val="22"/>
          </w:rPr>
          <w:t xml:space="preserve">The Theology of </w:t>
        </w:r>
        <w:proofErr w:type="spellStart"/>
        <w:r w:rsidR="00323EDF" w:rsidRPr="00323EDF">
          <w:rPr>
            <w:rStyle w:val="Hyperlink"/>
            <w:rFonts w:ascii="Arial" w:eastAsia="Arial Unicode MS" w:hAnsi="Arial" w:cs="Arial"/>
            <w:i/>
            <w:iCs/>
            <w:sz w:val="22"/>
            <w:szCs w:val="22"/>
          </w:rPr>
          <w:t>ʿAmmār</w:t>
        </w:r>
        <w:proofErr w:type="spellEnd"/>
        <w:r w:rsidR="00323EDF" w:rsidRPr="00323EDF">
          <w:rPr>
            <w:rStyle w:val="Hyperlink"/>
            <w:rFonts w:ascii="Arial" w:eastAsia="Arial Unicode MS" w:hAnsi="Arial" w:cs="Arial"/>
            <w:i/>
            <w:iCs/>
            <w:sz w:val="22"/>
            <w:szCs w:val="22"/>
          </w:rPr>
          <w:t xml:space="preserve"> al-</w:t>
        </w:r>
        <w:proofErr w:type="spellStart"/>
        <w:r w:rsidR="00323EDF" w:rsidRPr="00323EDF">
          <w:rPr>
            <w:rStyle w:val="Hyperlink"/>
            <w:rFonts w:ascii="Arial" w:eastAsia="Arial Unicode MS" w:hAnsi="Arial" w:cs="Arial"/>
            <w:i/>
            <w:iCs/>
            <w:sz w:val="22"/>
            <w:szCs w:val="22"/>
          </w:rPr>
          <w:t>Baṣrī</w:t>
        </w:r>
        <w:proofErr w:type="spellEnd"/>
        <w:r w:rsidR="00323EDF" w:rsidRPr="00323EDF">
          <w:rPr>
            <w:rStyle w:val="Hyperlink"/>
            <w:rFonts w:ascii="Arial" w:eastAsia="Arial Unicode MS" w:hAnsi="Arial" w:cs="Arial"/>
            <w:i/>
            <w:iCs/>
            <w:sz w:val="22"/>
            <w:szCs w:val="22"/>
          </w:rPr>
          <w:t xml:space="preserve"> </w:t>
        </w:r>
      </w:hyperlink>
      <w:r w:rsidR="00323EDF"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, Piscataway NJ, 2021. An English translation of the work is also available to consult in M. Beamont </w:t>
      </w:r>
      <w:hyperlink r:id="rId11" w:history="1">
        <w:proofErr w:type="spellStart"/>
        <w:r w:rsidR="00323EDF" w:rsidRPr="00323EDF">
          <w:rPr>
            <w:rStyle w:val="Hyperlink"/>
            <w:rFonts w:ascii="Arial" w:eastAsia="Arial Unicode MS" w:hAnsi="Arial" w:cs="Arial"/>
            <w:i/>
            <w:iCs/>
            <w:sz w:val="22"/>
            <w:szCs w:val="22"/>
          </w:rPr>
          <w:t>ʿAmmār</w:t>
        </w:r>
        <w:proofErr w:type="spellEnd"/>
        <w:r w:rsidR="00323EDF" w:rsidRPr="00323EDF">
          <w:rPr>
            <w:rStyle w:val="Hyperlink"/>
            <w:rFonts w:ascii="Arial" w:eastAsia="Arial Unicode MS" w:hAnsi="Arial" w:cs="Arial"/>
            <w:i/>
            <w:iCs/>
            <w:sz w:val="22"/>
            <w:szCs w:val="22"/>
          </w:rPr>
          <w:t xml:space="preserve"> al-</w:t>
        </w:r>
        <w:proofErr w:type="spellStart"/>
        <w:r w:rsidR="00323EDF" w:rsidRPr="00323EDF">
          <w:rPr>
            <w:rStyle w:val="Hyperlink"/>
            <w:rFonts w:ascii="Arial" w:eastAsia="Arial Unicode MS" w:hAnsi="Arial" w:cs="Arial"/>
            <w:i/>
            <w:iCs/>
            <w:sz w:val="22"/>
            <w:szCs w:val="22"/>
          </w:rPr>
          <w:t>Baṣrī’s</w:t>
        </w:r>
        <w:proofErr w:type="spellEnd"/>
        <w:r w:rsidR="00323EDF" w:rsidRPr="00323EDF">
          <w:rPr>
            <w:rStyle w:val="Hyperlink"/>
            <w:rFonts w:ascii="Arial" w:eastAsia="Arial Unicode MS" w:hAnsi="Arial" w:cs="Arial"/>
            <w:i/>
            <w:iCs/>
            <w:sz w:val="22"/>
            <w:szCs w:val="22"/>
          </w:rPr>
          <w:t xml:space="preserve"> Arabic Apologetic Works</w:t>
        </w:r>
      </w:hyperlink>
      <w:r w:rsidR="00323EDF" w:rsidRPr="00323EDF">
        <w:rPr>
          <w:rFonts w:ascii="Arial" w:eastAsia="Arial Unicode MS" w:hAnsi="Arial" w:cs="Arial"/>
          <w:i/>
          <w:iCs/>
          <w:color w:val="000000"/>
          <w:sz w:val="22"/>
          <w:szCs w:val="22"/>
        </w:rPr>
        <w:t xml:space="preserve">, </w:t>
      </w:r>
      <w:r w:rsidR="00323EDF" w:rsidRPr="00323EDF">
        <w:rPr>
          <w:rFonts w:ascii="Arial" w:eastAsia="Arial Unicode MS" w:hAnsi="Arial" w:cs="Arial"/>
          <w:color w:val="000000"/>
          <w:sz w:val="22"/>
          <w:szCs w:val="22"/>
        </w:rPr>
        <w:t>Piscataway NJ, 2022</w:t>
      </w:r>
    </w:p>
    <w:p w14:paraId="322BB87E" w14:textId="2065053B" w:rsidR="00274264" w:rsidRPr="00323EDF" w:rsidRDefault="002C7189" w:rsidP="001D00AB">
      <w:pPr>
        <w:spacing w:line="276" w:lineRule="auto"/>
        <w:jc w:val="both"/>
        <w:rPr>
          <w:rFonts w:ascii="Arial" w:eastAsia="Arial Unicode MS" w:hAnsi="Arial" w:cs="Arial"/>
          <w:i/>
          <w:iCs/>
          <w:color w:val="000000"/>
          <w:sz w:val="22"/>
          <w:szCs w:val="22"/>
        </w:rPr>
      </w:pPr>
      <w:r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The </w:t>
      </w:r>
      <w:r w:rsidR="001B692C">
        <w:rPr>
          <w:rFonts w:ascii="Arial" w:eastAsia="Arial Unicode MS" w:hAnsi="Arial" w:cs="Arial"/>
          <w:color w:val="000000"/>
          <w:sz w:val="22"/>
          <w:szCs w:val="22"/>
        </w:rPr>
        <w:t xml:space="preserve">Arabic </w:t>
      </w:r>
      <w:r w:rsidRPr="00323EDF">
        <w:rPr>
          <w:rFonts w:ascii="Arial" w:eastAsia="Arial Unicode MS" w:hAnsi="Arial" w:cs="Arial"/>
          <w:color w:val="000000"/>
          <w:sz w:val="22"/>
          <w:szCs w:val="22"/>
        </w:rPr>
        <w:t>text</w:t>
      </w:r>
      <w:r w:rsidR="00666E47"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we will be </w:t>
      </w:r>
      <w:r w:rsidR="006035F9" w:rsidRPr="00323EDF">
        <w:rPr>
          <w:rFonts w:ascii="Arial" w:eastAsia="Arial Unicode MS" w:hAnsi="Arial" w:cs="Arial"/>
          <w:color w:val="000000"/>
          <w:sz w:val="22"/>
          <w:szCs w:val="22"/>
        </w:rPr>
        <w:t>reading from</w:t>
      </w:r>
      <w:r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 can be found in M. Hayek, </w:t>
      </w:r>
      <w:hyperlink r:id="rId12" w:history="1">
        <w:proofErr w:type="spellStart"/>
        <w:r w:rsidRPr="00323EDF">
          <w:rPr>
            <w:rStyle w:val="Hyperlink"/>
            <w:rFonts w:ascii="Arial" w:eastAsia="Arial Unicode MS" w:hAnsi="Arial" w:cs="Arial"/>
            <w:i/>
            <w:iCs/>
            <w:sz w:val="22"/>
            <w:szCs w:val="22"/>
          </w:rPr>
          <w:t>ʿAmmār</w:t>
        </w:r>
        <w:proofErr w:type="spellEnd"/>
        <w:r w:rsidRPr="00323EDF">
          <w:rPr>
            <w:rStyle w:val="Hyperlink"/>
            <w:rFonts w:ascii="Arial" w:eastAsia="Arial Unicode MS" w:hAnsi="Arial" w:cs="Arial"/>
            <w:i/>
            <w:iCs/>
            <w:sz w:val="22"/>
            <w:szCs w:val="22"/>
          </w:rPr>
          <w:t xml:space="preserve"> al-</w:t>
        </w:r>
        <w:proofErr w:type="spellStart"/>
        <w:r w:rsidRPr="00323EDF">
          <w:rPr>
            <w:rStyle w:val="Hyperlink"/>
            <w:rFonts w:ascii="Arial" w:eastAsia="Arial Unicode MS" w:hAnsi="Arial" w:cs="Arial"/>
            <w:i/>
            <w:iCs/>
            <w:sz w:val="22"/>
            <w:szCs w:val="22"/>
          </w:rPr>
          <w:t>Baṣrī</w:t>
        </w:r>
        <w:proofErr w:type="spellEnd"/>
        <w:r w:rsidRPr="00323EDF">
          <w:rPr>
            <w:rStyle w:val="Hyperlink"/>
            <w:rFonts w:ascii="Arial" w:eastAsia="Arial Unicode MS" w:hAnsi="Arial" w:cs="Arial"/>
            <w:i/>
            <w:iCs/>
            <w:sz w:val="22"/>
            <w:szCs w:val="22"/>
          </w:rPr>
          <w:t xml:space="preserve">: </w:t>
        </w:r>
        <w:proofErr w:type="spellStart"/>
        <w:r w:rsidRPr="00323EDF">
          <w:rPr>
            <w:rStyle w:val="Hyperlink"/>
            <w:rFonts w:ascii="Arial" w:eastAsia="Arial Unicode MS" w:hAnsi="Arial" w:cs="Arial"/>
            <w:i/>
            <w:iCs/>
            <w:sz w:val="22"/>
            <w:szCs w:val="22"/>
          </w:rPr>
          <w:t>Apologie</w:t>
        </w:r>
        <w:proofErr w:type="spellEnd"/>
        <w:r w:rsidRPr="00323EDF">
          <w:rPr>
            <w:rStyle w:val="Hyperlink"/>
            <w:rFonts w:ascii="Arial" w:eastAsia="Arial Unicode MS" w:hAnsi="Arial" w:cs="Arial"/>
            <w:i/>
            <w:iCs/>
            <w:sz w:val="22"/>
            <w:szCs w:val="22"/>
          </w:rPr>
          <w:t xml:space="preserve"> et Controverses</w:t>
        </w:r>
      </w:hyperlink>
      <w:r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, Beirut, 1977. </w:t>
      </w:r>
      <w:r w:rsidR="006035F9"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The excerpts for the reading group are available </w:t>
      </w:r>
      <w:hyperlink r:id="rId13" w:history="1">
        <w:r w:rsidR="006035F9" w:rsidRPr="00323EDF">
          <w:rPr>
            <w:rStyle w:val="Hyperlink"/>
            <w:rFonts w:ascii="Arial" w:eastAsia="Arial Unicode MS" w:hAnsi="Arial" w:cs="Arial"/>
            <w:sz w:val="22"/>
            <w:szCs w:val="22"/>
          </w:rPr>
          <w:t>here.</w:t>
        </w:r>
      </w:hyperlink>
      <w:r w:rsidR="006035F9"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="00323EDF">
        <w:rPr>
          <w:rFonts w:ascii="Arial" w:eastAsia="Arial Unicode MS" w:hAnsi="Arial" w:cs="Arial"/>
          <w:color w:val="000000"/>
          <w:sz w:val="22"/>
          <w:szCs w:val="22"/>
        </w:rPr>
        <w:t xml:space="preserve">No </w:t>
      </w:r>
      <w:r w:rsidR="00323E86"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preparation is required, though you may find it helpful to </w:t>
      </w:r>
      <w:r w:rsidR="000C73E7">
        <w:rPr>
          <w:rFonts w:ascii="Arial" w:eastAsia="Arial Unicode MS" w:hAnsi="Arial" w:cs="Arial"/>
          <w:color w:val="000000"/>
          <w:sz w:val="22"/>
          <w:szCs w:val="22"/>
        </w:rPr>
        <w:t xml:space="preserve">read </w:t>
      </w:r>
      <w:r w:rsidR="00323E86" w:rsidRPr="00323EDF">
        <w:rPr>
          <w:rFonts w:ascii="Arial" w:eastAsia="Arial Unicode MS" w:hAnsi="Arial" w:cs="Arial"/>
          <w:color w:val="000000"/>
          <w:sz w:val="22"/>
          <w:szCs w:val="22"/>
        </w:rPr>
        <w:t>the excerpts ahead of meeting</w:t>
      </w:r>
      <w:r w:rsidR="00547596">
        <w:rPr>
          <w:rFonts w:ascii="Arial" w:eastAsia="Arial Unicode MS" w:hAnsi="Arial" w:cs="Arial"/>
          <w:color w:val="000000"/>
          <w:sz w:val="22"/>
          <w:szCs w:val="22"/>
        </w:rPr>
        <w:t>s</w:t>
      </w:r>
      <w:r w:rsidR="00323E86" w:rsidRPr="00323EDF">
        <w:rPr>
          <w:rFonts w:ascii="Arial" w:eastAsia="Arial Unicode MS" w:hAnsi="Arial" w:cs="Arial"/>
          <w:color w:val="000000"/>
          <w:sz w:val="22"/>
          <w:szCs w:val="22"/>
        </w:rPr>
        <w:t xml:space="preserve">. You may also wish to bring a copy of a classical Arabic dictionary for easy reference. </w:t>
      </w:r>
    </w:p>
    <w:p w14:paraId="7FC5F998" w14:textId="4514D069" w:rsidR="00CE2635" w:rsidRPr="002C7189" w:rsidRDefault="00CE2635" w:rsidP="00226374">
      <w:pPr>
        <w:pStyle w:val="Heading2"/>
        <w:jc w:val="center"/>
        <w:rPr>
          <w:rFonts w:ascii="Arial Unicode MS" w:eastAsia="Arial Unicode MS" w:hAnsi="Arial Unicode MS" w:cs="Arial Unicode MS"/>
        </w:rPr>
      </w:pPr>
      <w:r w:rsidRPr="002C7189">
        <w:rPr>
          <w:rFonts w:ascii="Arial Unicode MS" w:eastAsia="Arial Unicode MS" w:hAnsi="Arial Unicode MS" w:cs="Arial Unicode MS"/>
        </w:rPr>
        <w:t>Reading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6"/>
        <w:gridCol w:w="3672"/>
        <w:gridCol w:w="567"/>
        <w:gridCol w:w="4201"/>
      </w:tblGrid>
      <w:tr w:rsidR="00824AD9" w14:paraId="5E22AC56" w14:textId="77777777" w:rsidTr="00226374">
        <w:trPr>
          <w:trHeight w:val="556"/>
        </w:trPr>
        <w:tc>
          <w:tcPr>
            <w:tcW w:w="576" w:type="dxa"/>
          </w:tcPr>
          <w:p w14:paraId="20FABCA7" w14:textId="3BA9D489" w:rsidR="00824AD9" w:rsidRPr="00824AD9" w:rsidRDefault="00824AD9" w:rsidP="00824AD9">
            <w:r w:rsidRPr="00824AD9">
              <w:t>W</w:t>
            </w:r>
            <w:r>
              <w:t>1</w:t>
            </w:r>
          </w:p>
          <w:p w14:paraId="15E52AED" w14:textId="77777777" w:rsidR="00824AD9" w:rsidRDefault="00824AD9" w:rsidP="00824AD9"/>
        </w:tc>
        <w:tc>
          <w:tcPr>
            <w:tcW w:w="3672" w:type="dxa"/>
          </w:tcPr>
          <w:p w14:paraId="332CD0E9" w14:textId="77777777" w:rsidR="00824AD9" w:rsidRDefault="00824AD9" w:rsidP="00824AD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dalāʾil</w:t>
            </w:r>
            <w:proofErr w:type="spellEnd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ʿalā</w:t>
            </w:r>
            <w:proofErr w:type="spellEnd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 l-</w:t>
            </w:r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dīn</w:t>
            </w:r>
            <w:proofErr w:type="spellEnd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 al-</w:t>
            </w:r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haqq</w:t>
            </w:r>
            <w:proofErr w:type="spellEnd"/>
            <w:r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,  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pt. 1 </w:t>
            </w:r>
          </w:p>
          <w:p w14:paraId="13AC8707" w14:textId="01F9D5A9" w:rsidR="00824AD9" w:rsidRDefault="00824AD9" w:rsidP="00226374"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(pp. 24b – 27a)</w:t>
            </w:r>
          </w:p>
        </w:tc>
        <w:tc>
          <w:tcPr>
            <w:tcW w:w="567" w:type="dxa"/>
          </w:tcPr>
          <w:p w14:paraId="5CC4DDDD" w14:textId="4D7EE939" w:rsidR="00824AD9" w:rsidRDefault="00824AD9" w:rsidP="00824AD9">
            <w:r>
              <w:t>W5</w:t>
            </w:r>
          </w:p>
        </w:tc>
        <w:tc>
          <w:tcPr>
            <w:tcW w:w="4201" w:type="dxa"/>
          </w:tcPr>
          <w:p w14:paraId="2AE8C8B7" w14:textId="77777777" w:rsidR="00824AD9" w:rsidRPr="00274264" w:rsidRDefault="00824AD9" w:rsidP="00824AD9"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ithbāt</w:t>
            </w:r>
            <w:proofErr w:type="spellEnd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 al-</w:t>
            </w:r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tajassud</w:t>
            </w:r>
            <w:proofErr w:type="spellEnd"/>
            <w:r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pt. 1 (pp. 62b – 67a)</w:t>
            </w:r>
          </w:p>
          <w:p w14:paraId="07803FF7" w14:textId="77777777" w:rsidR="00824AD9" w:rsidRDefault="00824AD9" w:rsidP="00824AD9"/>
        </w:tc>
      </w:tr>
      <w:tr w:rsidR="00824AD9" w14:paraId="109B4D53" w14:textId="77777777" w:rsidTr="00824AD9">
        <w:tc>
          <w:tcPr>
            <w:tcW w:w="576" w:type="dxa"/>
          </w:tcPr>
          <w:p w14:paraId="733A55A0" w14:textId="215DA6C8" w:rsidR="00824AD9" w:rsidRDefault="00824AD9" w:rsidP="00824AD9">
            <w:r>
              <w:t>W2</w:t>
            </w:r>
          </w:p>
        </w:tc>
        <w:tc>
          <w:tcPr>
            <w:tcW w:w="3672" w:type="dxa"/>
          </w:tcPr>
          <w:p w14:paraId="28E1DD8F" w14:textId="77777777" w:rsidR="00824AD9" w:rsidRDefault="00824AD9" w:rsidP="00824AD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dalāʾil</w:t>
            </w:r>
            <w:proofErr w:type="spellEnd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ʿalā</w:t>
            </w:r>
            <w:proofErr w:type="spellEnd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 l-</w:t>
            </w:r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dīn</w:t>
            </w:r>
            <w:proofErr w:type="spellEnd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 al-</w:t>
            </w:r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haq</w:t>
            </w:r>
            <w:r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q</w:t>
            </w:r>
            <w:proofErr w:type="spellEnd"/>
            <w:r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pt. 2 </w:t>
            </w:r>
          </w:p>
          <w:p w14:paraId="1FF3DB08" w14:textId="6EF78623" w:rsidR="00824AD9" w:rsidRDefault="00824AD9" w:rsidP="00824AD9"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(pp. 27b-32a)</w:t>
            </w:r>
          </w:p>
        </w:tc>
        <w:tc>
          <w:tcPr>
            <w:tcW w:w="567" w:type="dxa"/>
          </w:tcPr>
          <w:p w14:paraId="692677C7" w14:textId="7F0D412D" w:rsidR="00824AD9" w:rsidRDefault="00824AD9" w:rsidP="00824AD9">
            <w:r>
              <w:t>W6</w:t>
            </w:r>
          </w:p>
        </w:tc>
        <w:tc>
          <w:tcPr>
            <w:tcW w:w="4201" w:type="dxa"/>
          </w:tcPr>
          <w:p w14:paraId="6AB48FA1" w14:textId="77777777" w:rsidR="00824AD9" w:rsidRPr="00274264" w:rsidRDefault="00824AD9" w:rsidP="00824AD9"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ithbāt</w:t>
            </w:r>
            <w:proofErr w:type="spellEnd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 al-</w:t>
            </w:r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tajassud</w:t>
            </w:r>
            <w:proofErr w:type="spellEnd"/>
            <w:r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pt. 2 (pp. 67b – 71a)</w:t>
            </w:r>
          </w:p>
          <w:p w14:paraId="03CDFE24" w14:textId="77777777" w:rsidR="00824AD9" w:rsidRDefault="00824AD9" w:rsidP="00824AD9"/>
        </w:tc>
      </w:tr>
      <w:tr w:rsidR="00824AD9" w14:paraId="1D46A9FD" w14:textId="77777777" w:rsidTr="00824AD9">
        <w:tc>
          <w:tcPr>
            <w:tcW w:w="576" w:type="dxa"/>
          </w:tcPr>
          <w:p w14:paraId="30F21D01" w14:textId="6CFCF0F6" w:rsidR="00824AD9" w:rsidRDefault="00824AD9" w:rsidP="00824AD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W3</w:t>
            </w:r>
          </w:p>
        </w:tc>
        <w:tc>
          <w:tcPr>
            <w:tcW w:w="3672" w:type="dxa"/>
          </w:tcPr>
          <w:p w14:paraId="1D480514" w14:textId="77777777" w:rsidR="00824AD9" w:rsidRDefault="00824AD9" w:rsidP="00824AD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asbāb</w:t>
            </w:r>
            <w:proofErr w:type="spellEnd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qubūl</w:t>
            </w:r>
            <w:proofErr w:type="spellEnd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 al-naṣrāniyya</w:t>
            </w:r>
            <w:r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pt. 1 </w:t>
            </w:r>
          </w:p>
          <w:p w14:paraId="534F7D83" w14:textId="08C8E00D" w:rsidR="00824AD9" w:rsidRDefault="00824AD9" w:rsidP="00824AD9"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(pp. 32b-36a)</w:t>
            </w:r>
          </w:p>
        </w:tc>
        <w:tc>
          <w:tcPr>
            <w:tcW w:w="567" w:type="dxa"/>
          </w:tcPr>
          <w:p w14:paraId="2B8EF5BD" w14:textId="68D2E2CC" w:rsidR="00824AD9" w:rsidRDefault="00824AD9" w:rsidP="00824AD9">
            <w:r>
              <w:t>W7</w:t>
            </w:r>
          </w:p>
        </w:tc>
        <w:tc>
          <w:tcPr>
            <w:tcW w:w="4201" w:type="dxa"/>
          </w:tcPr>
          <w:p w14:paraId="5402D8C8" w14:textId="77777777" w:rsidR="00824AD9" w:rsidRPr="00274264" w:rsidRDefault="00824AD9" w:rsidP="00824AD9"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ithbāt</w:t>
            </w:r>
            <w:proofErr w:type="spellEnd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 al-</w:t>
            </w:r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tajassud</w:t>
            </w:r>
            <w:proofErr w:type="spellEnd"/>
            <w:r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pt. 3 (pp. 71b – 75a)</w:t>
            </w:r>
          </w:p>
          <w:p w14:paraId="267623C3" w14:textId="77777777" w:rsidR="00824AD9" w:rsidRDefault="00824AD9" w:rsidP="00824AD9"/>
        </w:tc>
      </w:tr>
      <w:tr w:rsidR="00824AD9" w14:paraId="154BE5AB" w14:textId="77777777" w:rsidTr="00824AD9">
        <w:tc>
          <w:tcPr>
            <w:tcW w:w="576" w:type="dxa"/>
          </w:tcPr>
          <w:p w14:paraId="3AF40097" w14:textId="107AF95A" w:rsidR="00824AD9" w:rsidRDefault="00824AD9" w:rsidP="00824AD9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</w:rPr>
              <w:t>W4</w:t>
            </w:r>
          </w:p>
        </w:tc>
        <w:tc>
          <w:tcPr>
            <w:tcW w:w="3672" w:type="dxa"/>
          </w:tcPr>
          <w:p w14:paraId="512ED4B1" w14:textId="77777777" w:rsidR="00824AD9" w:rsidRDefault="00824AD9" w:rsidP="00824AD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asbāb</w:t>
            </w:r>
            <w:proofErr w:type="spellEnd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qubūl</w:t>
            </w:r>
            <w:proofErr w:type="spellEnd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 al-naṣrāniyya</w:t>
            </w:r>
            <w:r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 xml:space="preserve">pt. 2 </w:t>
            </w:r>
          </w:p>
          <w:p w14:paraId="3DC764BE" w14:textId="42C72A17" w:rsidR="00824AD9" w:rsidRPr="00824AD9" w:rsidRDefault="00824AD9" w:rsidP="00824AD9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(pp. 36b – 41a)</w:t>
            </w:r>
          </w:p>
        </w:tc>
        <w:tc>
          <w:tcPr>
            <w:tcW w:w="567" w:type="dxa"/>
          </w:tcPr>
          <w:p w14:paraId="2570963B" w14:textId="0C87FBF0" w:rsidR="00824AD9" w:rsidRDefault="00824AD9" w:rsidP="00824AD9">
            <w:r>
              <w:t>W8</w:t>
            </w:r>
          </w:p>
        </w:tc>
        <w:tc>
          <w:tcPr>
            <w:tcW w:w="4201" w:type="dxa"/>
          </w:tcPr>
          <w:p w14:paraId="08B97BA2" w14:textId="77777777" w:rsidR="00824AD9" w:rsidRPr="00274264" w:rsidRDefault="00824AD9" w:rsidP="00824AD9"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ithbāt</w:t>
            </w:r>
            <w:proofErr w:type="spellEnd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 al-</w:t>
            </w:r>
            <w:proofErr w:type="spellStart"/>
            <w:r w:rsidRPr="002C7189"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>tajassud</w:t>
            </w:r>
            <w:proofErr w:type="spellEnd"/>
            <w:r>
              <w:rPr>
                <w:rFonts w:ascii="Arial" w:eastAsia="Arial Unicode MS" w:hAnsi="Arial" w:cs="Arial"/>
                <w:i/>
                <w:i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p. 4 (pp. 75b – 79a)</w:t>
            </w:r>
          </w:p>
          <w:p w14:paraId="6B401AAA" w14:textId="77777777" w:rsidR="00824AD9" w:rsidRDefault="00824AD9" w:rsidP="00824AD9"/>
        </w:tc>
      </w:tr>
    </w:tbl>
    <w:p w14:paraId="77C75000" w14:textId="77777777" w:rsidR="00A82688" w:rsidRDefault="00A82688" w:rsidP="00A82688"/>
    <w:p w14:paraId="3A8B7E57" w14:textId="6E40029E" w:rsidR="00D4484F" w:rsidRPr="00AB51AF" w:rsidRDefault="00A82688" w:rsidP="00AB51AF">
      <w:r>
        <w:t xml:space="preserve">Contact Dr Steven Firmin at </w:t>
      </w:r>
      <w:hyperlink r:id="rId14" w:history="1">
        <w:r w:rsidRPr="008A4141">
          <w:rPr>
            <w:rStyle w:val="Hyperlink"/>
          </w:rPr>
          <w:t>iicptnetwork</w:t>
        </w:r>
        <w:r w:rsidR="00A850C0" w:rsidRPr="008A4141">
          <w:rPr>
            <w:rStyle w:val="Hyperlink"/>
          </w:rPr>
          <w:t>.ox.ac.uk</w:t>
        </w:r>
      </w:hyperlink>
      <w:r w:rsidR="00A850C0">
        <w:t xml:space="preserve"> for more information. </w:t>
      </w:r>
    </w:p>
    <w:sectPr w:rsidR="00D4484F" w:rsidRPr="00AB51AF" w:rsidSect="007F0CEF">
      <w:headerReference w:type="default" r:id="rId15"/>
      <w:headerReference w:type="first" r:id="rId16"/>
      <w:pgSz w:w="11906" w:h="16838"/>
      <w:pgMar w:top="1440" w:right="1440" w:bottom="1440" w:left="1440" w:header="708" w:footer="708" w:gutter="0"/>
      <w:pgBorders w:offsetFrom="page">
        <w:top w:val="celticKnotwork" w:sz="12" w:space="24" w:color="auto"/>
        <w:left w:val="celticKnotwork" w:sz="12" w:space="24" w:color="auto"/>
        <w:bottom w:val="celticKnotwork" w:sz="12" w:space="24" w:color="auto"/>
        <w:right w:val="celticKnotwork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ED4AB" w14:textId="77777777" w:rsidR="00D4484F" w:rsidRDefault="00D4484F" w:rsidP="00D4484F">
      <w:r>
        <w:separator/>
      </w:r>
    </w:p>
  </w:endnote>
  <w:endnote w:type="continuationSeparator" w:id="0">
    <w:p w14:paraId="0586FF3C" w14:textId="77777777" w:rsidR="00D4484F" w:rsidRDefault="00D4484F" w:rsidP="00D4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AF484" w14:textId="77777777" w:rsidR="00D4484F" w:rsidRDefault="00D4484F" w:rsidP="00D4484F">
      <w:r>
        <w:separator/>
      </w:r>
    </w:p>
  </w:footnote>
  <w:footnote w:type="continuationSeparator" w:id="0">
    <w:p w14:paraId="6890CA68" w14:textId="77777777" w:rsidR="00D4484F" w:rsidRDefault="00D4484F" w:rsidP="00D44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C827C" w14:textId="77777777" w:rsidR="00D4484F" w:rsidRDefault="00D4484F" w:rsidP="000C5A1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9BDD7" w14:textId="77777777" w:rsidR="002335DF" w:rsidRDefault="002335DF" w:rsidP="002335DF">
    <w:pPr>
      <w:pStyle w:val="Header"/>
      <w:jc w:val="center"/>
      <w:rPr>
        <w:b/>
        <w:bCs/>
      </w:rPr>
    </w:pPr>
  </w:p>
  <w:p w14:paraId="6A7AC86A" w14:textId="32FD1497" w:rsidR="002335DF" w:rsidRPr="002335DF" w:rsidRDefault="008538B6" w:rsidP="002335DF">
    <w:pPr>
      <w:pStyle w:val="Header"/>
      <w:jc w:val="center"/>
      <w:rPr>
        <w:b/>
        <w:bCs/>
      </w:rPr>
    </w:pPr>
    <w:hyperlink r:id="rId1" w:anchor="tab-5275346" w:history="1">
      <w:r w:rsidR="002335DF" w:rsidRPr="008538B6">
        <w:rPr>
          <w:rStyle w:val="Hyperlink"/>
          <w:b/>
          <w:bCs/>
        </w:rPr>
        <w:t>The Impact of Islam on Christian Political Theology</w:t>
      </w:r>
    </w:hyperlink>
  </w:p>
  <w:p w14:paraId="6E0EEB77" w14:textId="534C0A68" w:rsidR="000C5A1C" w:rsidRDefault="002335DF" w:rsidP="002335DF">
    <w:pPr>
      <w:pStyle w:val="Header"/>
    </w:pPr>
    <w:r>
      <w:tab/>
    </w:r>
    <w:r w:rsidR="000C5A1C">
      <w:rPr>
        <w:noProof/>
      </w:rPr>
      <w:drawing>
        <wp:inline distT="0" distB="0" distL="0" distR="0" wp14:anchorId="0ADBAA82" wp14:editId="17B0A5F1">
          <wp:extent cx="1969961" cy="766071"/>
          <wp:effectExtent l="0" t="0" r="0" b="0"/>
          <wp:docPr id="2014484896" name="Picture 2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1540739" name="Picture 2" descr="A logo with text on it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198" cy="808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D084E"/>
    <w:multiLevelType w:val="hybridMultilevel"/>
    <w:tmpl w:val="0262CFE8"/>
    <w:lvl w:ilvl="0" w:tplc="7C2AE960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iCs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742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4F"/>
    <w:rsid w:val="00046C47"/>
    <w:rsid w:val="000C5A1C"/>
    <w:rsid w:val="000C73E7"/>
    <w:rsid w:val="000E3F64"/>
    <w:rsid w:val="0016280E"/>
    <w:rsid w:val="001B692C"/>
    <w:rsid w:val="001D00AB"/>
    <w:rsid w:val="00226374"/>
    <w:rsid w:val="002335DF"/>
    <w:rsid w:val="00274264"/>
    <w:rsid w:val="002C6AB5"/>
    <w:rsid w:val="002C7189"/>
    <w:rsid w:val="00323E86"/>
    <w:rsid w:val="00323EDF"/>
    <w:rsid w:val="003B07E7"/>
    <w:rsid w:val="00525992"/>
    <w:rsid w:val="00531904"/>
    <w:rsid w:val="005323D9"/>
    <w:rsid w:val="00547596"/>
    <w:rsid w:val="0055739D"/>
    <w:rsid w:val="0057689E"/>
    <w:rsid w:val="005B532E"/>
    <w:rsid w:val="006035F9"/>
    <w:rsid w:val="00616C43"/>
    <w:rsid w:val="006368FF"/>
    <w:rsid w:val="00637278"/>
    <w:rsid w:val="0064213A"/>
    <w:rsid w:val="00647FD5"/>
    <w:rsid w:val="00666E47"/>
    <w:rsid w:val="006A236C"/>
    <w:rsid w:val="006F6B9D"/>
    <w:rsid w:val="007D2B02"/>
    <w:rsid w:val="007D6C23"/>
    <w:rsid w:val="007F0CEF"/>
    <w:rsid w:val="00824AD9"/>
    <w:rsid w:val="008538B6"/>
    <w:rsid w:val="00893BCC"/>
    <w:rsid w:val="008A4141"/>
    <w:rsid w:val="008F1BA9"/>
    <w:rsid w:val="00916785"/>
    <w:rsid w:val="009D0E5D"/>
    <w:rsid w:val="00A22832"/>
    <w:rsid w:val="00A364F2"/>
    <w:rsid w:val="00A82688"/>
    <w:rsid w:val="00A850C0"/>
    <w:rsid w:val="00AB51AF"/>
    <w:rsid w:val="00CA1EBC"/>
    <w:rsid w:val="00CC16C3"/>
    <w:rsid w:val="00CE2635"/>
    <w:rsid w:val="00D05219"/>
    <w:rsid w:val="00D4484F"/>
    <w:rsid w:val="00E3614B"/>
    <w:rsid w:val="00E546A6"/>
    <w:rsid w:val="00E87686"/>
    <w:rsid w:val="00E942E9"/>
    <w:rsid w:val="00ED78BE"/>
    <w:rsid w:val="00FB0E88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DE986"/>
  <w15:chartTrackingRefBased/>
  <w15:docId w15:val="{E17EDAB1-778C-944D-843D-0633210B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4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4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8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8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8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8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44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44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8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8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8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8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48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84F"/>
  </w:style>
  <w:style w:type="paragraph" w:styleId="Footer">
    <w:name w:val="footer"/>
    <w:basedOn w:val="Normal"/>
    <w:link w:val="FooterChar"/>
    <w:uiPriority w:val="99"/>
    <w:unhideWhenUsed/>
    <w:rsid w:val="00D448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84F"/>
  </w:style>
  <w:style w:type="character" w:customStyle="1" w:styleId="apple-converted-space">
    <w:name w:val="apple-converted-space"/>
    <w:basedOn w:val="DefaultParagraphFont"/>
    <w:rsid w:val="00D4484F"/>
  </w:style>
  <w:style w:type="character" w:styleId="Hyperlink">
    <w:name w:val="Hyperlink"/>
    <w:basedOn w:val="DefaultParagraphFont"/>
    <w:uiPriority w:val="99"/>
    <w:unhideWhenUsed/>
    <w:rsid w:val="00CE26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6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7189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824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D00AB"/>
    <w:pPr>
      <w:spacing w:after="200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nioxfordnexus-my.sharepoint.com/:f:/g/personal/lady5053_ox_ac_uk/Ej89hzLQiV9HnPc_DUm6GlIBJYG6djlmOrPn1xImZ9tvOw?e=UXCJ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lo.bodleian.ox.ac.uk/permalink/44OXF_INST/35n82s/alma99015125092010702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lo.bodleian.ox.ac.uk/permalink/44OXF_INST/35n82s/alma99102678696090702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olo.bodleian.ox.ac.uk/permalink/44OXF_INST/35n82s/alma991026787192707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app.goo.gl/GNAGmVsQ9XKn311Q6" TargetMode="External"/><Relationship Id="rId14" Type="http://schemas.openxmlformats.org/officeDocument/2006/relationships/hyperlink" Target="mailto:iicptnetwork.ox.ac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www.torch.ox.ac.uk/impact-of-islam-on-christian-political-the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99D419-5264-3E44-B55E-1B038101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Firmin</dc:creator>
  <cp:keywords/>
  <dc:description/>
  <cp:lastModifiedBy>Steven Firmin</cp:lastModifiedBy>
  <cp:revision>42</cp:revision>
  <dcterms:created xsi:type="dcterms:W3CDTF">2025-04-23T08:59:00Z</dcterms:created>
  <dcterms:modified xsi:type="dcterms:W3CDTF">2025-04-23T12:07:00Z</dcterms:modified>
</cp:coreProperties>
</file>